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BD" w:rsidRPr="002667BD" w:rsidRDefault="002667BD" w:rsidP="002667BD">
      <w:pPr>
        <w:pStyle w:val="pc"/>
        <w:shd w:val="clear" w:color="auto" w:fill="FFFFFF"/>
        <w:spacing w:line="360" w:lineRule="atLeast"/>
      </w:pPr>
      <w:r w:rsidRPr="002667BD">
        <w:t>ЦЕНТРАЛЬНЫЙ БАНК РОССИЙСКОЙ ФЕДЕРАЦИИ</w:t>
      </w:r>
    </w:p>
    <w:p w:rsidR="002667BD" w:rsidRPr="002667BD" w:rsidRDefault="002667BD" w:rsidP="002667BD">
      <w:pPr>
        <w:pStyle w:val="pc"/>
        <w:shd w:val="clear" w:color="auto" w:fill="FFFFFF"/>
        <w:spacing w:line="360" w:lineRule="atLeast"/>
      </w:pPr>
      <w:r w:rsidRPr="002667BD">
        <w:t>УКАЗАНИЕ</w:t>
      </w:r>
    </w:p>
    <w:p w:rsidR="002667BD" w:rsidRPr="002667BD" w:rsidRDefault="002667BD" w:rsidP="002667BD">
      <w:pPr>
        <w:pStyle w:val="pc"/>
        <w:shd w:val="clear" w:color="auto" w:fill="FFFFFF"/>
        <w:spacing w:line="360" w:lineRule="atLeast"/>
      </w:pPr>
      <w:r w:rsidRPr="002667BD">
        <w:t>от 21 июня 2016 г. N 4047-У</w:t>
      </w:r>
    </w:p>
    <w:p w:rsidR="002667BD" w:rsidRPr="002667BD" w:rsidRDefault="002667BD" w:rsidP="002667BD">
      <w:pPr>
        <w:pStyle w:val="pc"/>
        <w:shd w:val="clear" w:color="auto" w:fill="FFFFFF"/>
        <w:spacing w:line="360" w:lineRule="atLeast"/>
      </w:pPr>
      <w:r w:rsidRPr="002667BD">
        <w:t>О ТИПАХ И ФОРМЕ КВАЛИФИКАЦИОННЫХ АТТЕСТАТОВ,</w:t>
      </w:r>
    </w:p>
    <w:p w:rsidR="002667BD" w:rsidRPr="002667BD" w:rsidRDefault="002667BD" w:rsidP="002667BD">
      <w:pPr>
        <w:pStyle w:val="pc"/>
        <w:shd w:val="clear" w:color="auto" w:fill="FFFFFF"/>
        <w:spacing w:line="360" w:lineRule="atLeast"/>
      </w:pPr>
      <w:r w:rsidRPr="002667BD">
        <w:t>ВЫДАВАЕМЫХ АККРЕДИТОВАННЫМИ БАНКОМ РОССИИ ОРГАНИЗАЦИЯМИ,</w:t>
      </w:r>
    </w:p>
    <w:p w:rsidR="002667BD" w:rsidRPr="002667BD" w:rsidRDefault="002667BD" w:rsidP="002667BD">
      <w:pPr>
        <w:pStyle w:val="pc"/>
        <w:shd w:val="clear" w:color="auto" w:fill="FFFFFF"/>
        <w:spacing w:line="360" w:lineRule="atLeast"/>
      </w:pPr>
      <w:r w:rsidRPr="002667BD">
        <w:t>ОСУЩЕСТВЛЯЮЩИМИ АТТЕСТАЦИЮ СПЕЦИАЛИСТОВ ФИНАНСОВОГО РЫНКА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 xml:space="preserve">Настоящее Указание в соответствии с пунктом 14 статьи 42 Федерального закона от 22 апреля 1996 года N </w:t>
      </w:r>
      <w:hyperlink r:id="rId4" w:history="1">
        <w:r w:rsidRPr="002667BD">
          <w:rPr>
            <w:rStyle w:val="a3"/>
            <w:color w:val="auto"/>
          </w:rPr>
          <w:t>39-ФЗ</w:t>
        </w:r>
      </w:hyperlink>
      <w:r w:rsidRPr="002667BD">
        <w:t xml:space="preserve"> "О рынке ценных бумаг" (Собрание законодательства Российской Федерации, 1996, N 17, ст. 1918; 2001, N 33, ст. 3424; 2002, N 52, ст. 5141; 2004, N 27, ст. 2711; N 31, ст. 3225; 2005, N 11, ст. 900; N 25, ст. 2426; 2006, N 1, ст. 5; N 2, ст. 172; N 17, ст. 1780; N 31, ст. 3437; N 43, ст. 4412; 2007, N 1, ст. 45; N 18, ст. 2117; N 22, ст. 2563; N 41, ст. 4845; N 50, ст. 6247; 2008, N 52, ст. 6221; 2009, N 1, ст. 28; N 18, ст. 2154; N 23, ст. 2770; N 29, ст. 3642; N 48, ст. 5731; N 52, ст. 6428; 2010, N 17, ст. 1988; N 31, ст. 4193; N 41, ст. 5193; 2011, N 7, ст. 905; N 23, ст. 3262; N 27, ст. 3880; N 29, ст. 4291; N 48, ст. 6728; N 49, ст. 7040; N 50, ст. 7357; 2012, N 25, ст. 3269; N 31, ст. 4334; N 53, ст. 7607; 2013, N 26, ст. 3207; N 30, ст. 4043, ст. 4082, ст. 4084; N 51, ст. 6699; N 52, ст. 6985; 2014, N 30, ст. 4219; 2015, N 1, ст. 13; N 14, ст. 2022; N 27, ст. 4001; N 29, ст. 4348, ст. 4349, ст. 4357; 2016, N 1, ст. 81), подпунктом 8 пункта 2 статьи 55 Федерального закона от 29 ноября 2001 года N </w:t>
      </w:r>
      <w:hyperlink r:id="rId5" w:history="1">
        <w:r w:rsidRPr="002667BD">
          <w:rPr>
            <w:rStyle w:val="a3"/>
            <w:color w:val="auto"/>
          </w:rPr>
          <w:t>156-ФЗ</w:t>
        </w:r>
      </w:hyperlink>
      <w:r w:rsidRPr="002667BD">
        <w:t xml:space="preserve"> "Об инвестиционных фондах" (Собрание законодательства Российской Федерации, 2001, N 49, ст. 4562; 2004, N 27, ст. 2711; 2006, N 17, ст. 1780; 2007, N 50, ст. 6247; 2008, N 30, ст. 3616; 2009, N 48, ст. 5731; 2010, N 17, ст. 1988; N 31, ст. 4193; 2011, N 48, ст. 6728; N 49, ст. 7040, ст. 7061; 2012, N 31, ст. 4334; 2013, N 26, ст. 3207; N 27, ст. 3477; N 30, ст. 4084; N 51, ст. 6695, ст. 6699; 2014, N 11, ст. 1098; 2015, N 27, ст. 4001; N 29, ст. 4357; 2016, N 1, ст. 47; N 23, ст. 3301), подпунктом 13 пункта 3 статьи 34 Федерального закона от 7 мая 1998 года N </w:t>
      </w:r>
      <w:hyperlink r:id="rId6" w:history="1">
        <w:r w:rsidRPr="002667BD">
          <w:rPr>
            <w:rStyle w:val="a3"/>
            <w:color w:val="auto"/>
          </w:rPr>
          <w:t>75-ФЗ</w:t>
        </w:r>
      </w:hyperlink>
      <w:r w:rsidRPr="002667BD">
        <w:t xml:space="preserve"> "О негосударственных пенсионных фондах" (Собрание законодательства Российской Федерации, 1998, N 19, ст. 2071; 2001, N 7, ст. 623; 2002, N 12, ст. 1093; 2003, N 2, ст. 166; 2004, N 49, ст. 4854; 2005, N 19, ст. 1755; 2006, N 43, ст. 4412; 2007, N 50, ст. 6247; 2008, N 18, ст. 1942; N 30, ст. 3616; 2009, N 29, ст. 3619; N 48, ст. 5731; N 52, ст. 6450, ст. 6454; 2010, N 17, ст. 1988; N 31, ст. 4196; 2011, N 29, ст. 4291; N 48, ст. 6728; N 49, ст. 7036, ст. 7037, ст. 7040, ст. 7061; 2012, N 31, ст. 4322; N 47, ст. 6391; N 50, ст. 6965, ст. 6966; 2013, N 19, ст. 2326; N 30, ст. 4044, ст. 4084; N 49, ст. 6352; N 52, ст. 6975; 2014, N 11, ст. 1098; N 30, ст. 4219; 2015, N 27, ст. 3958, ст. 4001; N 29, ст. 4357; 2016, N 1, ст. 41, ст. 47), пунктом 18 части 1 статьи 25 Федерального закона от 7 февраля 2011 года N </w:t>
      </w:r>
      <w:hyperlink r:id="rId7" w:history="1">
        <w:r w:rsidRPr="002667BD">
          <w:rPr>
            <w:rStyle w:val="a3"/>
            <w:color w:val="auto"/>
          </w:rPr>
          <w:t>7-ФЗ</w:t>
        </w:r>
      </w:hyperlink>
      <w:r w:rsidRPr="002667BD">
        <w:t xml:space="preserve"> "О клиринге, клиринговой деятельности и центральном контрагенте" (Собрание законодательства Российской Федерации, 2011, N 7, ст. 904; N 48, ст. 6728; N 49, ст. 7040, ст. 7061; 2012, N 53, ст. 7607; 2013, N 30, ст. 4084; 2014, N 11, ст. 1098; 2015, N 27, ст. 4001; N 29, </w:t>
      </w:r>
      <w:r w:rsidRPr="002667BD">
        <w:lastRenderedPageBreak/>
        <w:t xml:space="preserve">ст. 4357; 2016, N 1, ст. 23, ст. 47), пунктом 17 части 1 статьи 25 Федерального закона от 21 ноября 2011 года N </w:t>
      </w:r>
      <w:hyperlink r:id="rId8" w:history="1">
        <w:r w:rsidRPr="002667BD">
          <w:rPr>
            <w:rStyle w:val="a3"/>
            <w:color w:val="auto"/>
          </w:rPr>
          <w:t>325-ФЗ</w:t>
        </w:r>
      </w:hyperlink>
      <w:r w:rsidRPr="002667BD">
        <w:t xml:space="preserve"> "Об организованных торгах" (Собрание законодательства Российской Федерации, 2011, N 48, ст. 6726; 2012, N 53, ст. 7607; 2013, N 30, ст. 4084; N 51, ст. 6699; 2015, N 27, ст. 4001; N 29, ст. 4357; 2016, N 1, ст. 47, ст. 48) определяет типы и форму квалификационных аттестатов, выдаваемых аккредитованными Банком России организациями, осуществляющими аттестацию граждан в сфере профессиональной деятельности на рынке ценных бумаг, в сфере деятельности акционерных инвестиционных фондов, управляющих компаний, специализированных депозитариев, в сфере деятельности по негосударственному пенсионному обеспечению и обязательному пенсионному страхованию, в сфере клиринговой деятельности, в сфере деятельности по проведению организованных торгов (далее соответственно - аккредитованные Банком России организации, аттестация специалистов финансового рынка).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1. Аккредитованные Банком России организации, осуществляющие аттестацию специалистов финансового рынка, выдают квалификационные аттестаты следующих типов.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 xml:space="preserve">1.1. 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и деятельности </w:t>
      </w:r>
      <w:proofErr w:type="spellStart"/>
      <w:r w:rsidRPr="002667BD">
        <w:t>форекс</w:t>
      </w:r>
      <w:proofErr w:type="spellEnd"/>
      <w:r w:rsidRPr="002667BD">
        <w:t>-дилера (далее - квалификационный аттестат первого типа).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1.2. Квалификационный аттестат второго типа о присвоении квалификации специалиста финансового рынка по клиринговой деятельности и деятельности по проведению организованных торгов (далее - квалификационный аттестат второго типа).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1.3. Квалификационный аттестат третьего типа о присвоении квалификации специалиста финансового рынка по деятельности по ведению реестра владельцев ценных бумаг (далее - квалификационный аттестат третьего типа).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1.4. Квалификационный аттестат четвертого типа о присвоении квалификации специалиста финансового рынка по депозитарной деятельности (далее - квалификационный аттестат четвертого типа).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1.5. Квалификационный аттестат пятого типа о присвоении квалификации специалиста финансового рынка по деятельности по управлению инвестиционными фондами, паевыми инвестиционными фондами и негосударственными пенсионными фондами (далее - квалификационный аттестат пятого типа).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1.6. Квалификационный аттестат шестого типа о присвоении квалификации специалиста финансового рынка по деятельности специализированных депозитариев инвестиционных фондов, паевых инвестиционных фондов и негосударственных пенсионных фондов (далее - квалификационный аттестат шестого типа).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lastRenderedPageBreak/>
        <w:t>1.7. Квалификационный аттестат седьмого типа о присвоении квалификации специалиста финансового рынка по деятельности негосударственных пенсионных фондов по негосударственному пенсионному обеспечению и обязательному пенсионному страхованию (далее - квалификационный аттестат седьмого типа).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 xml:space="preserve">2. Аккредитованные Банком России организации, осуществляющие аттестацию специалистов финансового рынка, выдают квалификационные аттестаты, указанные в пункте 1 настоящего Указания, по форме согласно </w:t>
      </w:r>
      <w:proofErr w:type="gramStart"/>
      <w:r w:rsidRPr="002667BD">
        <w:t>приложению</w:t>
      </w:r>
      <w:proofErr w:type="gramEnd"/>
      <w:r w:rsidRPr="002667BD">
        <w:t xml:space="preserve"> к настоящему Указанию.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2.1. На квалификационном аттестате размещается двухмерный штриховой код (QR-код размером 20 x 20 мм), содержащий в кодированном виде гиперссылку для прямого доступа к разделу официального сайта Банка России в информационно-телекоммуникационной сети "Интернет", в котором осуществляется проверка статуса квалификационных аттестатов специалистов финансового рынка.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2.2. Бланк квалификационного аттестата является защищенной полиграфической продукцией уровня "В".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3. Настоящее Указание в соответствии с решением Совета директоров Банка России (протокол заседания Совета директоров Банка России от 10 июня 2016 года N 15) вступает в силу по истечении 10 дней после дня его официального опубликования, за исключением подпункта 2.1 пункта 2 настоящего Указания.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Подпункт 2.1 пункта 2 настоящего Указания вступает в силу с 1 января 2017 года.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4. Со дня вступления в силу настоящего Указания не применять: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приказ Федеральной службы по финансовым рынкам от 21 сентября 2006 года N 06-102/</w:t>
      </w:r>
      <w:proofErr w:type="spellStart"/>
      <w:r w:rsidRPr="002667BD">
        <w:t>пз</w:t>
      </w:r>
      <w:proofErr w:type="spellEnd"/>
      <w:r w:rsidRPr="002667BD">
        <w:t>-н "О типах и форме квалификационных аттестатов", зарегистрированный Министерством юстиции Российской Федерации 31 октября 2006 года N 8426 (Бюллетень нормативных актов федеральных органов исполнительной власти от 13 ноября 2006 года N 46);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 xml:space="preserve">приказ Федеральной службы по финансовым рынкам от 21 января 2010 года N </w:t>
      </w:r>
      <w:hyperlink r:id="rId9" w:history="1">
        <w:r w:rsidRPr="002667BD">
          <w:rPr>
            <w:rStyle w:val="a3"/>
            <w:color w:val="auto"/>
          </w:rPr>
          <w:t>10-1/</w:t>
        </w:r>
        <w:proofErr w:type="spellStart"/>
        <w:r w:rsidRPr="002667BD">
          <w:rPr>
            <w:rStyle w:val="a3"/>
            <w:color w:val="auto"/>
          </w:rPr>
          <w:t>пз</w:t>
        </w:r>
        <w:proofErr w:type="spellEnd"/>
        <w:r w:rsidRPr="002667BD">
          <w:rPr>
            <w:rStyle w:val="a3"/>
            <w:color w:val="auto"/>
          </w:rPr>
          <w:t>-н</w:t>
        </w:r>
      </w:hyperlink>
      <w:r w:rsidRPr="002667BD">
        <w:t xml:space="preserve"> "О внесении дополнений в приказ ФСФР России от 21.09.2006 N 06-102/</w:t>
      </w:r>
      <w:proofErr w:type="spellStart"/>
      <w:r w:rsidRPr="002667BD">
        <w:t>пз</w:t>
      </w:r>
      <w:proofErr w:type="spellEnd"/>
      <w:r w:rsidRPr="002667BD">
        <w:t>-н "О типах и форме квалификационных аттестатов", зарегистрированный Министерством юстиции Российской Федерации 19 февраля 2010 года N 16474 (Бюллетень нормативных актов федеральных органов исполнительной власти от 29 марта 2010 года N 13);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 xml:space="preserve">приказ Федеральной службы по финансовым рынкам от 9 октября 2012 года N </w:t>
      </w:r>
      <w:hyperlink r:id="rId10" w:history="1">
        <w:r w:rsidRPr="002667BD">
          <w:rPr>
            <w:rStyle w:val="a3"/>
            <w:color w:val="auto"/>
          </w:rPr>
          <w:t>12-86/</w:t>
        </w:r>
        <w:proofErr w:type="spellStart"/>
        <w:r w:rsidRPr="002667BD">
          <w:rPr>
            <w:rStyle w:val="a3"/>
            <w:color w:val="auto"/>
          </w:rPr>
          <w:t>пз</w:t>
        </w:r>
        <w:proofErr w:type="spellEnd"/>
        <w:r w:rsidRPr="002667BD">
          <w:rPr>
            <w:rStyle w:val="a3"/>
            <w:color w:val="auto"/>
          </w:rPr>
          <w:t>-н</w:t>
        </w:r>
      </w:hyperlink>
      <w:r w:rsidRPr="002667BD">
        <w:t xml:space="preserve"> "О внесении изменений в приложения N 1 и 2 к приказу ФСФР России от 21.09.2006 N 06-102/</w:t>
      </w:r>
      <w:proofErr w:type="spellStart"/>
      <w:r w:rsidRPr="002667BD">
        <w:t>пз</w:t>
      </w:r>
      <w:proofErr w:type="spellEnd"/>
      <w:r w:rsidRPr="002667BD">
        <w:t>-н "О типах и форме квалификационных аттестатов", зарегистрированный Министерством юстиции Российской Федерации 24 октября 2012 года N 25719 (Бюллетень нормативных актов федеральных органов исполнительной власти от 24 декабря 2012 года N 52).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lastRenderedPageBreak/>
        <w:t>Председатель Центрального банка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t>Российской Федерации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t>Э.С.НАБИУЛЛИНА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t>Приложение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t>к Указанию Банка России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t>от 21 июня 2016 года N 4047-У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t>"О типах и форме квалификационных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t>аттестатов, выдаваемых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t>аккредитованными Банком России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t>организациями, осуществляющими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t>аттестацию специалистов</w:t>
      </w:r>
    </w:p>
    <w:p w:rsidR="002667BD" w:rsidRPr="002667BD" w:rsidRDefault="002667BD" w:rsidP="002667BD">
      <w:pPr>
        <w:pStyle w:val="pr"/>
        <w:shd w:val="clear" w:color="auto" w:fill="FFFFFF"/>
        <w:spacing w:line="360" w:lineRule="atLeast"/>
      </w:pPr>
      <w:r w:rsidRPr="002667BD">
        <w:t>финансового рынка"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___________________________________________________________________________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(полное наименование аккредитованной Банком России организации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в именительном падеже)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___________________________________________________________________________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(реквизиты свидетельства Банка России об аккредитации)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┌────────┐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│ │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КВАЛИФИКАЦИОННЫЙ АТТЕСТАТ │ QR-код │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│ │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└────────┘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Решением аттестационной комиссии от ________________________ N ___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lastRenderedPageBreak/>
        <w:t>__________________________________________________________________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(фамилия, имя, отчество (при наличии)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в дательном падеже)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_____________________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(дата рождения)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присвоена квалификация специалиста финансового рынка по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___________________________________________________________________________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__________________________________________________________________________.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(указывается одно из нижеперечисленного: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брокерской деятельности, дилерской деятельности, деятельности по управлению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 xml:space="preserve">ценными бумагами и деятельности </w:t>
      </w:r>
      <w:proofErr w:type="spellStart"/>
      <w:r w:rsidRPr="002667BD">
        <w:t>форекс</w:t>
      </w:r>
      <w:proofErr w:type="spellEnd"/>
      <w:r w:rsidRPr="002667BD">
        <w:t>-дилера;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клиринговой деятельности и деятельности по проведению организованных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торгов;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деятельности по ведению реестра владельцев ценных бумаг;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депозитарной деятельности;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деятельности по управлению инвестиционными фондами, паевыми инвестиционными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фондами и негосударственными пенсионными фондами;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деятельности специализированных депозитариев инвестиционных фондов, паевых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инвестиционных фондов и негосударственных пенсионных фондов;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деятельности негосударственных пенсионных фондов по негосударственному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пенсионному обеспечению и обязательному пенсионному страхованию)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Уполномоченное лицо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аттестационной комиссии __________________________ _________________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lastRenderedPageBreak/>
        <w:t>(личная подпись) (Ф.И.О.)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Серия __-____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(серия бланка квалификационного аттестата имеет следующий вид: XY-ZZZ, где X - код, соответствующий виду документа, Y - код, соответствующий типу квалификационного аттестата, а ZZZ - специальный код аккредитованной Банком России организации, присваиваемый Банком России.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Для обозначения вида документа (X) используются следующие коды: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A - квалификационный аттестат;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D - дубликат квалификационного аттестата.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Для обозначения типа квалификационного аттестата (Y) используются следующие коды: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I - квалификационный аттестат первого типа;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II - квалификационный аттестат второго типа;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III - квалификационный аттестат третьего типа;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IV - квалификационный аттестат четвертого типа;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V - квалификационный аттестат пятого типа;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VI - квалификационный аттестат шестого типа;</w:t>
      </w:r>
    </w:p>
    <w:p w:rsidR="002667BD" w:rsidRPr="002667BD" w:rsidRDefault="002667BD" w:rsidP="002667BD">
      <w:pPr>
        <w:pStyle w:val="pj"/>
        <w:shd w:val="clear" w:color="auto" w:fill="FFFFFF"/>
        <w:spacing w:line="360" w:lineRule="atLeast"/>
      </w:pPr>
      <w:r w:rsidRPr="002667BD">
        <w:t>VII - квалификационный аттестат седьмого типа)</w:t>
      </w:r>
    </w:p>
    <w:p w:rsidR="00A317CD" w:rsidRPr="002667BD" w:rsidRDefault="00A317CD">
      <w:bookmarkStart w:id="0" w:name="_GoBack"/>
      <w:bookmarkEnd w:id="0"/>
    </w:p>
    <w:sectPr w:rsidR="00A317CD" w:rsidRPr="002667BD" w:rsidSect="002667B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00"/>
    <w:rsid w:val="002667BD"/>
    <w:rsid w:val="00A317CD"/>
    <w:rsid w:val="00C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F8E7-C833-4615-9C2E-8138EE4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7BD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2667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667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2667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1.11.2011-N-325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07.02.2011-N-7-F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7.05.1998-N-75-F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laws/Federalnyy-zakon-ot-29.11.2001-N-156-FZ/" TargetMode="External"/><Relationship Id="rId10" Type="http://schemas.openxmlformats.org/officeDocument/2006/relationships/hyperlink" Target="http://rulaws.ru/acts/Prikaz-FSFR-Rossii-ot-09.10.2012-N-12-86_pz-n/" TargetMode="External"/><Relationship Id="rId4" Type="http://schemas.openxmlformats.org/officeDocument/2006/relationships/hyperlink" Target="http://rulaws.ru/laws/Federalnyy-zakon-ot-22.04.1996-N-39-FZ/" TargetMode="External"/><Relationship Id="rId9" Type="http://schemas.openxmlformats.org/officeDocument/2006/relationships/hyperlink" Target="http://rulaws.ru/acts/Prikaz-FSFR-RF-ot-21.01.2010-N-10-1_pz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1713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Коненкин</dc:creator>
  <cp:keywords/>
  <dc:description/>
  <cp:lastModifiedBy>Владимир Коненкин</cp:lastModifiedBy>
  <cp:revision>2</cp:revision>
  <dcterms:created xsi:type="dcterms:W3CDTF">2018-03-21T08:48:00Z</dcterms:created>
  <dcterms:modified xsi:type="dcterms:W3CDTF">2018-03-21T08:52:00Z</dcterms:modified>
</cp:coreProperties>
</file>