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0" w:name="100002"/>
      <w:bookmarkEnd w:id="0"/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ЦЕНТРАЛЬНЫЙ БАНК РОССИЙСКОЙ ФЕДЕРАЦИИ</w:t>
      </w:r>
      <w:bookmarkStart w:id="1" w:name="_GoBack"/>
      <w:bookmarkEnd w:id="1"/>
    </w:p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2" w:name="100003"/>
      <w:bookmarkEnd w:id="2"/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УКАЗАНИЕ</w:t>
      </w:r>
    </w:p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от 30 ноября 2015 г. N 3858-У</w:t>
      </w:r>
    </w:p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bookmarkStart w:id="3" w:name="100004"/>
      <w:bookmarkEnd w:id="3"/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ОБ УТВЕРЖДЕНИИ ПРОГРАММЫ</w:t>
      </w:r>
    </w:p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КВАЛИФИКАЦИОННЫХ ЭКЗАМЕНОВ ДЛЯ АТТЕСТАЦИИ ФИЗИЧЕСКИХ ЛИЦ</w:t>
      </w:r>
    </w:p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В СФЕРЕ КЛИРИНГОВОЙ ДЕЯТЕЛЬНОСТИ И В СФЕРЕ ДЕЯТЕЛЬНОСТИ</w:t>
      </w:r>
    </w:p>
    <w:p w:rsidR="00B577D6" w:rsidRPr="0095016B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b/>
          <w:sz w:val="23"/>
          <w:szCs w:val="23"/>
          <w:lang w:eastAsia="ru-RU"/>
        </w:rPr>
      </w:pPr>
      <w:r w:rsidRPr="0095016B">
        <w:rPr>
          <w:rFonts w:ascii="Open Sans" w:eastAsia="Times New Roman" w:hAnsi="Open Sans" w:cs="Times New Roman"/>
          <w:b/>
          <w:sz w:val="23"/>
          <w:szCs w:val="23"/>
          <w:lang w:eastAsia="ru-RU"/>
        </w:rPr>
        <w:t>ПО ПРОВЕДЕНИЮ ОРГАНИЗОВАННЫХ ТОРГОВ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На основании </w:t>
      </w:r>
      <w:hyperlink r:id="rId4" w:anchor="100296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пункта 18 части 1 статьи 25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7 февраля 2011 года N 7-ФЗ "О клиринге и клиринговой деятельности" (Собрание законодательства Российской Федерации, 2011, N 7, ст. 904; N 48, ст. 6728; N 49, ст. 7040, ст. 7061; 2012, N 53, ст. 7607; 2013, N 30, ст. 4084; 2014, N 11, ст. 1098; 2015, N 27, ст. 4001) (далее - Федеральный закон "О клиринге и клиринговой деятельности"), </w:t>
      </w:r>
      <w:hyperlink r:id="rId5" w:anchor="100246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пункта 17 части 1 статьи 25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21 ноября 2011 года N 325-ФЗ "Об организованных торгах" (Собрание законодательства Российской Федерации, 2011, N 48, ст. 6726; 2012, N 53, ст. 7607; 2013, N 30, ст. 4084; N 51, ст. 6699; 2015, N 27, ст. 4001) (далее - Федеральный закон "Об организованных торгах"), Федерального </w:t>
      </w:r>
      <w:hyperlink r:id="rId6" w:anchor="000304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N 52, 7543; 2015, N 1, ст. 4, ст. 37; N 27, ст. 3958, ст. 4001; N 29, ст. 4348; N 41, ст. 5639) Банк России утверждает программу квалификационных экзаменов для аттестации физических лиц в сфере клиринговой деятельности и в сфере деятельности по проведению организованных торгов (</w:t>
      </w:r>
      <w:hyperlink r:id="rId7" w:anchor="100009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приложение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к настоящему Указанию).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Настоящее Указание вступает в силу по истечении 10 дней после дня его официального опубликования в "Вестнике Банка России".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Председатель Центрального банка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Э.С.НАБИУЛЛИНА</w:t>
      </w:r>
    </w:p>
    <w:p w:rsidR="00B577D6" w:rsidRPr="00B577D6" w:rsidRDefault="00B577D6" w:rsidP="00B5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77D6" w:rsidRPr="00B577D6" w:rsidRDefault="00B577D6" w:rsidP="00B5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77D6" w:rsidRPr="00B577D6" w:rsidRDefault="00B577D6" w:rsidP="00B57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Приложение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к Указанию Банка России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от 30 ноября 2015 года N 3858-У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"Об утверждении программы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квалификационных экзаменов для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аттестации физических лиц в сфере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клиринговой деятельности и в сфере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деятельности по проведению</w:t>
      </w:r>
    </w:p>
    <w:p w:rsidR="00B577D6" w:rsidRPr="00B577D6" w:rsidRDefault="00B577D6" w:rsidP="00B577D6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организованных торгов"</w:t>
      </w:r>
    </w:p>
    <w:p w:rsidR="00B577D6" w:rsidRPr="00B577D6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ПРОГРАММА</w:t>
      </w:r>
    </w:p>
    <w:p w:rsidR="00B577D6" w:rsidRPr="00B577D6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КВАЛИФИКАЦИОННЫХ ЭКЗАМЕНОВ ДЛЯ АТТЕСТАЦИИ ФИЗИЧЕСКИХ ЛИЦ</w:t>
      </w:r>
    </w:p>
    <w:p w:rsidR="00B577D6" w:rsidRPr="00B577D6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В СФЕРЕ КЛИРИНГОВОЙ ДЕЯТЕЛЬНОСТИ И В СФЕРЕ ДЕЯТЕЛЬНОСТИ</w:t>
      </w:r>
    </w:p>
    <w:p w:rsidR="00B577D6" w:rsidRPr="00B577D6" w:rsidRDefault="00B577D6" w:rsidP="00B577D6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ПО ПРОВЕДЕНИЮ ОРГАНИЗОВАННЫХ ТОРГОВ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1. Организованные торги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1.1. Деятельность по проведению организованных торгов.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Основные понятия, используемые в Федеральном </w:t>
      </w:r>
      <w:hyperlink r:id="rId8" w:anchor="100013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законе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"Об организованных торгах", а также нормативных актах Банка России, регулирующих деятельность по проведению организованных торгов. Требования к правилам организованных торгов.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1.2. Организаторы торговли.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Роль и место организаторов торговли на финансовом рынке. Права и обязанности организатора торговли. Виды организаторов торговли и их характеристика. Требования к органам управления и работникам организатора торговли. Требования к учредителям (участникам) организатора торговли. Требования к корпоративному управлению организатора торговли. Совещательные органы организатора торговли как форма взаимодействия организатора торговли с участниками торгов.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1.3. Организованные торги.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Участники торгов. Участие Банка России в организованных торгах. </w:t>
      </w:r>
      <w:proofErr w:type="spellStart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Маркетмейкеры</w:t>
      </w:r>
      <w:proofErr w:type="spellEnd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их в роль на организованных торгах. Заявки, подаваемые на организованных торгах. Заключение договора на организованных торгах. Особенности заключения на организованных торгах договоров с центральным контрагентом и (или) клиринговым брокером. Правила совершения необеспеченных </w:t>
      </w: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сделок на организованных торгах. Приостановление и прекращение организованных торгов. Порядок ведения реестров организатором торговли.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1.4. Виды инструментов, обращающихся на организованных торгах, и особенности их допуска к организованным торгам.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Виды ценных бумаг, обращающихся на организованных торгах, порядок допуска (прекращения допуска) ценных бумаг к организованным торгам. Валюта, товары (в том числе драгоценные металлы) и особенности их допуска к организованным торгам и обращения на организованных торгах. Виды договоров, являющихся производными финансовыми инструментами, их особенности и требования к спецификациям таких договоров. Договоры </w:t>
      </w:r>
      <w:proofErr w:type="spellStart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репо</w:t>
      </w:r>
      <w:proofErr w:type="spellEnd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их особенности.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2. Клиринг и клиринговая деятельность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2.1. Понятие клиринговой деятельности.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Основные понятия, используемые в Федеральном </w:t>
      </w:r>
      <w:hyperlink r:id="rId9" w:anchor="100012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законе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"О клиринге и клиринговой деятельности", а также нормативных актах Банка России, регулирующих осуществление клиринговой деятельности. Требования к правилам клиринга.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2.2. Клиринговая организация.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Права и обязанности клиринговой организации. Особенности осуществления клиринговой деятельности кредитной организацией. Требования к органам управления и работникам клиринговой организации. Требования к учредителям (участникам) клиринговой организации. Требования к корпоративному управлению клиринговой организации. Совещательные органы клиринговой организации как форма взаимодействия клиринговой организации с участниками клиринга.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2.3. Центральный контрагент.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Центральный контрагент, его функции и роль на финансовом рынке. Квалифицированный центральный контрагент. Преимущества заключения сделок с участием квалифицированного центрального контрагента.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2.4. Осуществление клиринга.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Виды клиринга. Участники клиринга. Способы обеспечения исполнения обязательств. Особенности индивидуального и коллективного клирингового обеспечения. Торговые и клиринговые счета и порядок условия проведения операций по указанным счетам. Внутренний учет клиринговой организации. Принципы сегрегации и переносимости. Гарантии завершения расчетов по итогам клиринга. Ликвидационный </w:t>
      </w:r>
      <w:proofErr w:type="spellStart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неттинг</w:t>
      </w:r>
      <w:proofErr w:type="spellEnd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. Клиринг внебиржевых сделок.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3. Порядок проведения расчетов по итогам организованных торгов и (или) клиринга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3.1. Порядок проведения расчетов.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Организации, проводящие расчеты по итогам организованных торгов и (или) клиринга, и особенности их деятельности. Порядок и особенности проведения расчетов по итогам организованных торгов и (или) клиринга на российском финансовом и товарном (биржевом) рынке, в том числе по итогам сделок с валютой и драгоценными металлами. Центральный депозитарий и его роль при проведении расчетов на рынке ценных бумаг.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4. Система внутреннего контроля организатора торговли, клиринговой организации и центрального контрагента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4.1. Система внутреннего контроля организатора торговли.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3"/>
      <w:bookmarkEnd w:id="32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 к организации системы внутреннего контроля организатора торговли. Порядок осуществления внутреннего контроля и внутреннего аудита организатором торговли. Функции службы внутреннего аудита организатора торговли. Функции контролера (руководителя службы внутреннего контроля) организатора торговли.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4.2. Система внутреннего контроля клиринговой организации и центрального контрагента.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 к организации системы внутреннего контроля клиринговой организации. Порядок осуществления внутреннего контроля и внутреннего аудита в клиринговой организации. Функции службы внутреннего аудита клиринговой организации. Функции контролера (руководителя службы внутреннего контроля) клиринговой организации. Оценка качества внутреннего контроля и корпоративного управления квалифицированного центрального контрагента.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5. Система управления рисками организатора торговли, клиринговой организации и центрального контрагента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5.1. Риски и методы управления ими.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Понятие риска. Виды рисков. Факторы рисков. Организация процесса управления рисками. Оценка рисков. Методы управления рисками. Стресс-тестирование и виды стресс-тестов.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5.2. Система управления рисками организатора торговли.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Риски организатора торговли. Требования к организации системы управления рисками, связанными с осуществлением деятельности по организации торговли, а также в случаях возникновения чрезвычайных ситуаций. Требования к собственным средствам организатора торговли и иные обязательные нормативы. Требования к правилам организации системы управления рисками организатора торговли. Обеспечение непрерывности деятельности организатора торговли, планы восстановления деятельности. Требования к порядку хранения и защиты информации организатором торговли. Требования к работе с программно-техническими средствами, предназначенными для осуществления деятельности по проведению организованных торгов.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5.3. Система управления рисками клиринговой организации и центрального контрагента.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Риски клиринговой организации. Требования к системе управления рисками при осуществлении клиринговой деятельности. Требования к собственным средствам клиринговой организации и </w:t>
      </w: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иные обязательные нормативы. Различия в управлении рисками клиринговой организации, не являющейся кредитной организацией, и клиринговой организации, являющейся кредитной организацией. Требования к правилам организации системы управления рисками клиринговой организации и центрального контрагента. Требования к методике стресс-тестирования системы управления рисками клиринговой организации и центрального контрагента. Оценка качества системы управления рисками кредитной организации, осуществляющей функции центрального контрагента. Обеспечение непрерывности деятельности клиринговой организации и центрального контрагента, планы восстановления деятельности. Требования к порядку хранения и защиты информации клиринговой организацией. Резервные требования Банка России для кредитных организаций, осуществляющих клиринговую деятельность и (или) функции центрального контрагента.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6. Противодействие неправомерной деятельности на финансовом рынке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6.1. Противодействие неправомерному использованию инсайдерской информации и манипулированию рынком.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5"/>
      <w:bookmarkEnd w:id="4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Инсайдерская информация. Инсайдеры. Раскрытие и предоставление инсайдерской информации. Действия, относящиеся к манипулированию рынком. Меры по предотвращению, выявлению и пресечению неправомерного использования инсайдерской информации и (или) манипулирования рынком.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6"/>
      <w:bookmarkEnd w:id="4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6.2. Предоставление информации организаторами торговли и клиринговыми организациями в целях противодействия легализации (отмыванию) доходов, полученных преступным путем, и финансированию терроризма.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7"/>
      <w:bookmarkEnd w:id="4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Операции участников торгов и (или) участников клиринга, подлежащих контролю в соответствии с требованиями Федерального </w:t>
      </w:r>
      <w:hyperlink r:id="rId10" w:history="1">
        <w:r w:rsidRPr="00B577D6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2311, ст. 2315, ст. 2335; N 23, ст. 2934; N 30, ст. 4214, ст. 4219; 2015, N 1, ст. 14, ст. 37, ст. 58; N 18, ст. 2614; N 24, ст. 3367; N 27, ст. 3945, ст. 3950, ст. 4001). Информация, подлежащая предоставлению организаторами торговли и клиринговыми организациями. Права и обязанности организаторов торговли и клиринговых организаций при предоставлении информации.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8"/>
      <w:bookmarkEnd w:id="4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6.3. Предотвращение недобросовестной деятельности участников торгов и их клиентов.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9"/>
      <w:bookmarkEnd w:id="4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Права и обязанности организатора торговли при осуществлении функций контроля за операциями с финансовыми инструментами, иностранной валютой и (или) товарами, осуществляемыми на организованных торгах.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0"/>
      <w:bookmarkEnd w:id="4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6.4. Особенности осуществления финансовых операций с иностранными гражданами и юридическими лицами.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1"/>
      <w:bookmarkEnd w:id="5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Обязанности клиринговой организации по выявлению лиц, на которых распространяется законодательство иностранного государства о налогообложении иностранных счетов, и их обслуживанию. Информационное взаимодействие между клиринговой организацией и уполномоченными органами по вопросам осуществления финансовых операций с иностранными гражданами и юридическими лицами. Особенности обслуживания клиентов иностранных налогоплательщиков клиринговыми организациями.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2"/>
      <w:bookmarkEnd w:id="51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7. Лицензирование деятельности по проведению организованных торгов и клиринговой деятельности. Условия и порядок аккредитации центрального контрагента и оператора товарных поставок. Регистрация документов организатора торговли и клиринговой организации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3"/>
      <w:bookmarkEnd w:id="52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7.1. Лицензирование деятельности по проведению организованных торгов.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4"/>
      <w:bookmarkEnd w:id="53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 и условия при получении лицензии биржи или лицензии торговой системы. Требования к документам и сведениям, представляемым для получения лицензии биржи или лицензии торговой системы. Основания для аннулирования лицензии.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5"/>
      <w:bookmarkEnd w:id="5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7.2. Лицензирование клиринговой деятельности.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6"/>
      <w:bookmarkEnd w:id="5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Требования и условия при получении лицензии клиринговой организации. Требования к документам и сведениям, представляемым для получения лицензии клиринговой организации. Основания для аннулирования лицензии.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7"/>
      <w:bookmarkEnd w:id="5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7.3. Условия и порядок аккредитации центрального контрагента и оператора товарных поставок.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8"/>
      <w:bookmarkEnd w:id="5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Условия проведения аккредитации кредитной организации, не являющейся клиринговой организацией, для осуществления ею функций центрального контрагента. Условия проведения аккредитации организации для осуществления ею функций оператора товарных поставок.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59"/>
      <w:bookmarkEnd w:id="5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7.4. Регистрация документов организатора торговли и клиринговой организации.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0"/>
      <w:bookmarkEnd w:id="5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Документы организатора торговли и клиринговой организации для регистрации в Банке России. Порядок подготовки и направления документов организатором торговли и клиринговой организацией для регистрации в Банк России. Основания для отказа в регистрации документов Банком России. Порядок вступления в силу документов организатора торговли и клиринговой организации, зарегистрированных Банком России.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1"/>
      <w:bookmarkEnd w:id="6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8. Требования к раскрытию и предоставлению информации и (или) документов организаторами торговли и клиринговыми организациями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2"/>
      <w:bookmarkEnd w:id="61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8.1. Раскрытие информации и (или) предоставление документов организатором торговли.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3"/>
      <w:bookmarkEnd w:id="62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Порядок, состав и сроки предоставления информации организатором торговли участникам торгов. Порядок, состав и сроки предоставления информации и документов организатором торговли в Банк России. Порядок, состав и сроки раскрытия информации организатором торговли на своем сайте в информационно-телекоммуникационной сети "Интернет". Порядок предоставления биржам информации о внебиржевых сделках с товарами и ценными бумагами, обращающимися </w:t>
      </w:r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на организованных торгах (далее - информация о внебиржевых сделках). Состав и сроки раскрытия и предоставления биржей информации о внебиржевых сделках.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4"/>
      <w:bookmarkEnd w:id="63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8.2. Раскрытие информации и (или) предоставление документов клиринговой организацией.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5"/>
      <w:bookmarkEnd w:id="64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Порядок, состав и сроки представления отчетов клиринговой организацией участникам клиринга. Порядок, формы и сроки составления и представления отчетности клиринговой организацией и центральным контрагентом в Банк России. Порядок и сроки раскрытия информации клиринговой организацией на своем сайте в информационно-телекоммуникационной сети "Интернет".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6"/>
      <w:bookmarkEnd w:id="65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9. Показатели, рассчитываемые организатором торговли, клиринговой организацией и центральным контрагентом. Требования к порядку и методикам расчета показателей организатора торговли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7"/>
      <w:bookmarkEnd w:id="66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9.1. Показатели, рассчитываемые организатором торговли, клиринговой организацией и (или) центральным контрагентом.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8"/>
      <w:bookmarkEnd w:id="67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Показатели, рассчитываемые организатором торговли. Требования к порядку расчета показателей, характеризующих организованные торги. Требования к методикам расчета раскрываемых организатором торговли цен, индексов и иных показателей. Показатели, рассчитываемые клиринговой организацией и центральным контрагентом, требования к порядку их расчета.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69"/>
      <w:bookmarkEnd w:id="68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Глава 10. Международная практика регулирования деятельности организаторов торговли, клиринговых организаций и центральных контрагентов на финансовых рынках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0"/>
      <w:bookmarkEnd w:id="69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Тема 10.1. Международная практика регулирования инфраструктуры финансового рынка.</w:t>
      </w:r>
    </w:p>
    <w:p w:rsidR="00B577D6" w:rsidRPr="00B577D6" w:rsidRDefault="00B577D6" w:rsidP="00B577D6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1"/>
      <w:bookmarkEnd w:id="70"/>
      <w:r w:rsidRPr="00B577D6">
        <w:rPr>
          <w:rFonts w:ascii="Open Sans" w:eastAsia="Times New Roman" w:hAnsi="Open Sans" w:cs="Times New Roman"/>
          <w:sz w:val="23"/>
          <w:szCs w:val="23"/>
          <w:lang w:eastAsia="ru-RU"/>
        </w:rPr>
        <w:t>Международные организации, устанавливающие требования (стандарты) к деятельности организаторов торговли, клиринговых организаций и центральных контрагентов. Принципы, требования, рекомендации и стандарты, применяемые международными организациями в рамках регулирования инфраструктурных организаций финансового рынка. Взаимодействие российских и зарубежных организаторов торговли, клиринговых организаций и центральных контрагентов.</w:t>
      </w:r>
    </w:p>
    <w:p w:rsidR="00B577D6" w:rsidRPr="00B577D6" w:rsidRDefault="00B577D6" w:rsidP="00B577D6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A317CD" w:rsidRDefault="00A317CD"/>
    <w:sectPr w:rsidR="00A317CD" w:rsidSect="00B577D6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30"/>
    <w:rsid w:val="0095016B"/>
    <w:rsid w:val="00A317CD"/>
    <w:rsid w:val="00B577D6"/>
    <w:rsid w:val="00F0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AF92F-4ED3-4EAD-B1F5-D60A3D1F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D6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7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77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B577D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B577D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B577D6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897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1112011-n-325-fz-o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ukazanie-banka-rossii-ot-30112015-n-3858-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0072002-n-86-fz-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federalnyi-zakon-ot-21112011-n-325-fz-ob/" TargetMode="External"/><Relationship Id="rId10" Type="http://schemas.openxmlformats.org/officeDocument/2006/relationships/hyperlink" Target="http://legalacts.ru/doc/federalnyi-zakon-ot-07082001-n-115-fz-o/" TargetMode="External"/><Relationship Id="rId4" Type="http://schemas.openxmlformats.org/officeDocument/2006/relationships/hyperlink" Target="http://legalacts.ru/doc/federalnyi-zakon-ot-07022011-n-7-fz-o/" TargetMode="External"/><Relationship Id="rId9" Type="http://schemas.openxmlformats.org/officeDocument/2006/relationships/hyperlink" Target="http://legalacts.ru/doc/federalnyi-zakon-ot-07022011-n-7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2588</Words>
  <Characters>14758</Characters>
  <Application>Microsoft Office Word</Application>
  <DocSecurity>0</DocSecurity>
  <Lines>122</Lines>
  <Paragraphs>34</Paragraphs>
  <ScaleCrop>false</ScaleCrop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Коненкин</dc:creator>
  <cp:keywords/>
  <dc:description/>
  <cp:lastModifiedBy>Владимир Коненкин</cp:lastModifiedBy>
  <cp:revision>3</cp:revision>
  <dcterms:created xsi:type="dcterms:W3CDTF">2018-03-21T09:14:00Z</dcterms:created>
  <dcterms:modified xsi:type="dcterms:W3CDTF">2018-03-21T09:20:00Z</dcterms:modified>
</cp:coreProperties>
</file>