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ЦЕНТРАЛЬНЫЙ БАНК РОССИЙСКОЙ ФЕДЕРАЦИИ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УКАЗАНИЕ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от 10 июля 2017 г. 4455-У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ОБ УТВЕРЖДЕНИИ ПРОГРАММЫ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КВАЛИФИКАЦИОННОГО ЭКЗАМЕНА ДЛЯ АТТЕСТАЦИИ ГРАЖДАН В СФЕРЕ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ДЕЯТЕЛЬНОСТИ ПО ВЕДЕНИЮ РЕЕСТРА ВЛАДЕЛЬЦЕВ ЦЕННЫХ БУМАГ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 xml:space="preserve">1. В соответствии с пунктом 14 статьи 42 Федерального закона от 22 апреля 1996 года N </w:t>
      </w:r>
      <w:hyperlink r:id="rId4" w:history="1">
        <w:r w:rsidRPr="00477550">
          <w:rPr>
            <w:rStyle w:val="a3"/>
            <w:color w:val="auto"/>
          </w:rPr>
          <w:t>39-ФЗ</w:t>
        </w:r>
      </w:hyperlink>
      <w:r w:rsidRPr="00477550">
        <w:t xml:space="preserve"> "О рынке ценных бумаг" (Собрание законодательства Российской Федерации, 1996, N 17, ст. 1918; 2001, N 33, ст. 3424; 2002, N 52, ст. 5141; 2004, N 27, ст. 2711; N 31, ст. 3225; 2005, N 11, ст. 900; N 25, ст. 2426; 2006, N 1, ст. 5; N 2, ст. 172; N 17, ст. 1780; N 31, ст. 3437; N 43, ст. 4412; 2007, N 1, ст. 45; N 18, ст. 2117; N 22, ст. 2563; N 41, ст. 4845; N 50, ст. 6247; 2008, N 52, ст. 6221; 2009, N 1, ст. 28; N 18, ст. 2154; N 23, ст. 2770; N 29, ст. 3642; N 48, ст. 5731; N 52, ст. 6428; 2010, N 17, ст. 1988; N 31, ст. 4193; N 41, ст. 5193; 2011, N 7, ст. 905; N 23, ст. 3262; N 29, ст. 4291; N 48, ст. 6728; N 49, ст. 7040; N 50, ст. 7357; 2012, N 25, ст. 3269; N 31, ст. 4334; N 53, ст. 7607; 2013, N 26, ст. 3207; N 30, ст. 4043, ст. 4082, ст. 4084; N 51, ст. 6699; N 52, ст. 6985; 2014, N 30, ст. 4219; 2015, N 1, ст. 13; N 14, ст. 2022; N 27, ст. 4001; N 29, ст. 4348, ст. 4357; 2016, N 1, ст. 50, ст. 81; N 27, ст. 4225; 2017, N 25, ст. 3592; "Официальный интернет-портал правовой информации" (www.pravo.gov.ru), 30 июня 2017 года) (далее - Федеральный закон "О рынке ценных бумаг") Банк России утверждает программу квалификационного экзамена для аттестации граждан в сфере деятельности по ведению реестра владельцев ценных бумаг (приложение к настоящему Указанию).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2. Настоящее Указание вступает в силу по истечении 10 дней после дня его официального опубликования.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 xml:space="preserve">3. Со дня вступления в силу настоящего Указания не применять приказ ФСФР России от 3 апреля 2012 года N </w:t>
      </w:r>
      <w:hyperlink r:id="rId5" w:history="1">
        <w:r w:rsidRPr="00477550">
          <w:rPr>
            <w:rStyle w:val="a3"/>
            <w:color w:val="auto"/>
          </w:rPr>
          <w:t>12-19/</w:t>
        </w:r>
        <w:proofErr w:type="spellStart"/>
        <w:r w:rsidRPr="00477550">
          <w:rPr>
            <w:rStyle w:val="a3"/>
            <w:color w:val="auto"/>
          </w:rPr>
          <w:t>пз</w:t>
        </w:r>
        <w:proofErr w:type="spellEnd"/>
        <w:r w:rsidRPr="00477550">
          <w:rPr>
            <w:rStyle w:val="a3"/>
            <w:color w:val="auto"/>
          </w:rPr>
          <w:t>-н</w:t>
        </w:r>
      </w:hyperlink>
      <w:r w:rsidRPr="00477550">
        <w:t xml:space="preserve"> "Об утверждении Программы специализированного квалификационного экзамена для специалистов финансового рынка по ведению реестра владельцев ценных бумаг (экзамен третьей серии)", зарегистрированный Министерством юстиции Российской Федерации 14 мая 2012 года N 24145.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Председатель Центрального банка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Российской Федерации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Э.С.НАБИУЛЛИНА</w:t>
      </w:r>
    </w:p>
    <w:p w:rsidR="00477550" w:rsidRDefault="00477550" w:rsidP="00477550">
      <w:pPr>
        <w:pStyle w:val="pr"/>
        <w:shd w:val="clear" w:color="auto" w:fill="FFFFFF"/>
        <w:spacing w:line="360" w:lineRule="atLeast"/>
      </w:pP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bookmarkStart w:id="0" w:name="_GoBack"/>
      <w:bookmarkEnd w:id="0"/>
      <w:r w:rsidRPr="00477550">
        <w:lastRenderedPageBreak/>
        <w:t>Приложение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к Указанию Банка России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от 10 июля 2017 года N 4455-У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"Об утверждении программы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квалификационного экзамена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для аттестации граждан в сфере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деятельности по ведению реестра</w:t>
      </w:r>
    </w:p>
    <w:p w:rsidR="00477550" w:rsidRPr="00477550" w:rsidRDefault="00477550" w:rsidP="00477550">
      <w:pPr>
        <w:pStyle w:val="pr"/>
        <w:shd w:val="clear" w:color="auto" w:fill="FFFFFF"/>
        <w:spacing w:line="360" w:lineRule="atLeast"/>
      </w:pPr>
      <w:r w:rsidRPr="00477550">
        <w:t>владельцев ценных бумаг"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ПРОГРАММА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КВАЛИФИКАЦИОННОГО ЭКЗАМЕНА ДЛЯ АТТЕСТАЦИИ ГРАЖДАН В СФЕРЕ</w:t>
      </w:r>
    </w:p>
    <w:p w:rsidR="00477550" w:rsidRPr="00477550" w:rsidRDefault="00477550" w:rsidP="00477550">
      <w:pPr>
        <w:pStyle w:val="pc"/>
        <w:shd w:val="clear" w:color="auto" w:fill="FFFFFF"/>
        <w:spacing w:line="360" w:lineRule="atLeast"/>
      </w:pPr>
      <w:r w:rsidRPr="00477550">
        <w:t>ДЕЯТЕЛЬНОСТИ ПО ВЕДЕНИЮ РЕЕСТРА ВЛАДЕЛЬЦЕВ ЦЕННЫХ БУМАГ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1. Деятельность по ведению реестра владельцев ценных бумаг и особенности ее осуществления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1.1. Деятельность по ведению реестра владельцев ценных бумаг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Основные понятия, используемые в законодательстве, регулирующем деятельность по ведению реестра владельцев ценных бумаг (далее - реестр).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 к осуществлению деятельности по ведению реестра. Запрет на совмещение деятельности по ведению реестра с другими видами профессиональной деятельности на рынке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 к держателю реестра, осуществляющему ведение реестра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Услуги, предоставляемые держателем реестра эмитенту (лицу, обязанному по ценным бумагам). Права и обязанности держателя реестра, эмитента (лица, обязанного по ценным бумагам), зарегистрированных лиц. Правила ведения реестра. Особенности договора на ведение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Ответственность держателя реестра при осуществлении деятельности по ведению реестра. Случаи возникновения солидарной ответственности держателя реестра и эмитента (лица, обязанного по ценным бумагам).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1.2. Услуги держателя реестра, оказываемые в рамках лицензируемой деятельности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 xml:space="preserve">Услуги в качестве агента по выдаче, погашению и обмену инвестиционных паев, предусмотренные статьей 27 Федерального закона от 29 ноября 2001 года N </w:t>
      </w:r>
      <w:hyperlink r:id="rId6" w:history="1">
        <w:r w:rsidRPr="00477550">
          <w:rPr>
            <w:rStyle w:val="a3"/>
            <w:color w:val="auto"/>
          </w:rPr>
          <w:t>156-ФЗ</w:t>
        </w:r>
      </w:hyperlink>
      <w:r w:rsidRPr="00477550">
        <w:t xml:space="preserve"> "Об инвестиционных фондах" (Собрание законодательства Российской Федерации, 2001, N 49, ст. 4562; 2004, N 27, ст. 2711; 2006, N 17, ст. 1780; 2007, N 50, ст. 6247; 2008, N 30, ст. 3616; 2009, N 48, ст. 5731; 2010, N 17, ст. 1988; N 31, ст. 4193; 2011, N 48, ст. 6728; N 49, ст. 7040, ст. 7061; 2012, N 31, ст. 4334; 2013, N 26, ст. 3207; N 27, ст. 3477; N 30, ст. 4084; N 51, ст. 6695, ст. 6699; 2014, N 11, ст. 1098; 2015, N 27, ст. 4001; N 29, ст. 4357; 2016, N 1, ст. 47; N 23, ст. 3301; N 27, ст. 4225, ст. 4294; 2017, N 18, ст. 2661), или услуги трансфер-агента, предусмотренные статьей 8.1 Федерального закона "О рынке ценных бумаг". Права и обязанности трансфер-агента, агента по выдаче, погашению и обмену инвестиционных паев.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Услуги по оказанию содействия в осуществлении прав по ценным бумагам.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Услуги по организации, созыву и проведению общих собраний владельцев ценных бумаг, в том числе по выполнению функций счетной комиссии.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 xml:space="preserve">Услуги по ведению реестра требований кредиторов, предусмотренного статьей 16 Федерального закона от 26 октября 2002 года N </w:t>
      </w:r>
      <w:hyperlink r:id="rId7" w:history="1">
        <w:r w:rsidRPr="00477550">
          <w:rPr>
            <w:rStyle w:val="a3"/>
            <w:color w:val="auto"/>
          </w:rPr>
          <w:t>127-ФЗ</w:t>
        </w:r>
      </w:hyperlink>
      <w:r w:rsidRPr="00477550">
        <w:t xml:space="preserve"> "О несостоятельности (банкротстве)" (Собрание законодательства Российской Федерации, 2002, N 43, ст. 4190; 2004, N 35, ст. 3607; 2005, N 1, ст. 18, ст. 46; N 44, ст. 4471; 2006, N 30, ст. 3292; N 52, ст. 5497; 2007, N 7, ст. 834; N 18, ст. 2117; N 30, ст. 3754; N 41, ст. 4845; N 49, ст. 6079; 2008, N 30, ст. 3616; N 49, ст. 5748; 2009, N 1, ст. 4, ст. 14; N 18, ст. 2153; N 29, ст. 3632; N 51, ст. 6160; N 52, ст. 6450; 2010, N 17, ст. 1988; N 31, ст. 4188, ст. 4196; 2011, N 1, ст. 41; N 7, ст. 905; N 19, ст. 2708; N 27, ст. 3880; N 29, ст. 4301; N 30, ст. 4576; N 48, ст. 6728; N 49, ст. 7015, ст. 7024, ст. 7040, ст. 7061, ст. 7068; N 50, ст. 7351, ст. 7357; 2012, N 31, ст. 4333; N 53, ст. 7607, ст. 7619; 2013, N 23, ст. 2871; N 26, ст. 3207; N 27, ст. 3477, ст. 3481; N 30, ст. 4084; N 51, ст. 6699; N 52, ст. 6975, ст. 6984; 2014, N 11, ст. 1095, ст. 1098; N 30, ст. 4217; N 49, ст. 6914; N 52, ст. 7543; 2015, N 1, ст. 10, ст. 11, ст. 29, ст. 35; N 27, ст. 3945, ст. 3958, ст. 3967, ст. 3977; N 29, ст. 4350, ст. 4355, ст. 4362; 2016, N 1, ст. 11, ст. 27, ст. 29; N 23, ст. 3296; N 26, ст. 3891; N 27, ст. 4225, ст. 4237, ст. 4293, ст. 4305; 2017, N 1, ст. 29; N 18, ст. 2661; "Официальный интернет-портал правовой информации" (www.pravo.gov.ru), 18 июня 2017 года).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Услуги по предоставлению информации о лицах, осуществляющих права по ценным бумагам.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Услуги по обработке документов, подготовке отчетов (документов), предоставлению информации в связи с осуществлением деятельности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Услуги по осуществлению функций удостоверяющего центра в связи с оказанием услуг клиентам на рынке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Услуги по предоставлению клиентам держателя реестра программных и (или) технических средств для удаленного доступа к его услугам на рынке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Услуги по перечислению выплат по ценным бумагам, оказываемые по поручению эмитента.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2. Регулирование деятельности по ведению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2.1. Лицензирование деятельности по ведению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Документы и сведения, представляемые для получения лицензии на осуществление деятельности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Основания и порядок приостановления, возобновления и аннулирования лицензии на осуществление деятельности по ведению реестра. Последствия приостановления или аннулирования лицензии на осуществление деятельности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2.2. Лицензионные требования и условия осуществления деятельности по ведению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Требования, предъявляемые к учредителям (участникам) и работникам профессиональных участников рынка ценных бумаг, осуществляющих деятельность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 к размеру собственных средств профессиональных участников рынка ценных бумаг, осуществляющих деятельность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Специальные лицензионные требования и условия для профессиональных участников рынка ценных бумаг, осуществляющих деятельность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2.3. Отчетность профессионального участника рынка ценных бумаг, осуществляющего деятельность по ведению реестра. Раскрытие информации и (или) предоставление информации держателем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Отчетность профессионального участника рынка ценных бумаг, осуществляющего деятельность по ведению реестра. Порядок, состав и сроки раскрытия информации профессиональными участниками рынка ценных бумаг, осуществляющими деятельность по ведению реестра, на своих сайтах в информационно-телекоммуникационной сети "Интернет". Требования к раскрытию обязательной и рекомендуемой информации.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Порядок, состав и сроки предоставления информации держателем реестра инвесторам, зарегистрированным лицам, эмитенту (лицу, обязанному по ценным бумагам), а также иным лицам в соответствии с федеральными законами.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Порядок, сроки и правовые основания предоставления держателем реестра списка владельцев ценных бумаг. Сведения, включаемые в список владельцев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Порядок, сроки и правовые основания предоставления держателем реестра списка лиц, осуществляющих права по ценным бумагам. Сведения, включаемые в список лиц, осуществляющих права по ценным бумагам.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предоставления держателем реестра по требованию любого заинтересованного лица справки о включении его в список лиц, осуществляющих права по ценным бумагам, или справки о том, что такое лицо не включено в указанный список.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3. Взаимодействие профессиональных участников рынка ценных бумаг, осуществляющих деятельность по ведению реестра, с центральным депозитарием и депозитариями, трансфер-агентами, агентами по выдаче, погашению и обмену инвестиционных паев, эмитентами, выполняющими часть функций держателя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3.1. Взаимодействие профессиональных участников рынка ценных бумаг, осуществляющих деятельность по ведению реестра, с центральным депозитарием и депозитариями, трансфер-агентами, агентами по выдаче, погашению и обмену инвестиционных паев, эмитентами, выполняющими часть функций держателя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взаимодействия профессиональных участников рынка ценных бумаг, осуществляющих деятельность по ведению реестра, с центральным депозитарием и депозитариями, трансфер-агентами, агентами по выдаче, погашению и обмену инвестиционных паев, эмитентами, выполняющими часть функций держателя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4. Осуществление деятельности по ведению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4.1. Общие требования к осуществлению деятельности по ведению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Система учета документов держателя реестра. Ведение учетных регистров держателя реестра, содержащих сведения о зарегистрированных лицах. Ведение учетных регистров, содержащих записи о ценных бумагах, в отношении которых держатель реестра оказывает услуги по учету прав. Требования к порядку регистрации документов держателем реестра в системе учета документов.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Учет ценных бумаг в штуках. Учет дробной части ценной бумаги. Условия возникновения и обращения дробных частей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Обеспечение равенства количества ценных бумаг, учтенных на лицевых счетах зарегистрированных лиц и счете неустановленных лиц, количеству таких же размещенных и не являющихся погашенными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4.2. Ведение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Внутренние документы держателя реестра, регламентирующие порядок ведения реестров. Требования к правилам ведения реестра. Требования к порядку ведения регистрационного журнала.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 к защите и хранению записей и документов держателя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4.3. Порядок передачи реестра в случае прекращения договора на ведение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раскрытия (предоставления) информации эмитентом в случае замены держателя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и сроки передачи реестра и документов, связанных с его ведением, указанному эмитентом (лицом, обязанным по ценным бумагам) держателю реестра в случае прекращения договора на ведение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Ограничения на совершение операций и выдачу информации после прекращения договора на ведение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4.4. Вознаграждение держателя реестра за составление списка лиц, осуществляющих права по ценным бумагам, а также за составление списка владельцев ценных бумаг. Размер платы, взимаемой держателем реестра с зарегистрированных лиц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Вознаграждение держателя реестра за составление списка лиц, осуществляющих права по ценным бумагам, а также за составление списка владельцев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Плата, взимаемая держателем реестра с зарегистрированных лиц за проведение операций по лицевым счетам и за предоставление информации из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5. Операции, совершаемые держателем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5.1. Порядок открытия держателем реестра лицевых и иных счетов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Виды открываемых держателем реестра лицевых и иных счетов. Порядок открытия лицевых счетов. Требования к документам для открытия лицевых счетов.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5.2. Порядок ведения держателем реестра лицевых и иных счетов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Операции по зачислению ценных бумаг на лицевые и иные счета: основания, сроки и условия зачисления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Операции по списанию ценных бумаг с лицевых и иных счетов: основания, сроки и условия списания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Особенности совершения операций по лицевому счету номинального держателя центрального депозитария.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Операции по фиксации (регистрации) обременения ценных бумаг и (или) факта ограничения распоряжения ценными бумагами. Содержание записи об обременении ценных бумаг. Содержание записи об ограничении распоряжения ценными бумагами.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Операции по фиксации (регистрации) прекращения обременения ценных бумаг и (или) снятия ограничения распоряжения ценными бумагами. Содержание записи о прекращении обременения ценных бумаг. Содержание записи о снятии ограничения распоряжения ценными бумагами.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Операции объединения выпусков ценных бумаг и аннулирования кода дополнительного выпуска ценных бумаг: основания, сроки и условия проведения.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Приостановление проведения операций по лицевым счетам. Возобновление проведения операций по лицевым счетам.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внесения исправительных записей по лицевым счетам.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Осуществление держателем реестра и депозитарием сверки соответствия количества ценных бумаг. Сверка записей центрального депозитария и держателя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 к документам, на основании которых совершаются операции. Требования к содержанию распоряжений зарегистрированных лиц, эмитента (лица, обязанного по ценным бумагам) о проведении операций по лицевому счету. Основания для отказа в совершении операции. Порядок направления уведомления об отказе в совершении операции зарегистрированному лицу.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закрытия лицевых счетов в реестре. Основания для закрытия лицевых счетов.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Операции размещения ценных бумаг при создании акционерного общества. Операции с ценными бумагами в случае ликвидации эмитента. Операции с ценными бумагами при реорганизации эмитента.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5.3. Особенности действий держателя реестра при выкупе ценных бумаг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 xml:space="preserve">Операции, проводимые держателем реестра, при выкупе принадлежащих акционерам акций в случаях, предусмотренных главами IX и XI.1 Федерального закона от 26 декабря 1995 года N </w:t>
      </w:r>
      <w:hyperlink r:id="rId8" w:history="1">
        <w:r w:rsidRPr="00477550">
          <w:rPr>
            <w:rStyle w:val="a3"/>
            <w:color w:val="auto"/>
          </w:rPr>
          <w:t>208-ФЗ</w:t>
        </w:r>
      </w:hyperlink>
      <w:r w:rsidRPr="00477550">
        <w:t xml:space="preserve"> "Об акционерных обществах" (Собрание законодательства Российской Федерации, 1996, N 1, ст. 1; N 25, ст. 2956; 1999, N 22, ст. 2672; 2001, N 33, ст. 3423; 2002, N 12, ст. 1093; N 45, ст. 4436; 2003, N 9, ст. 805; 2004, N 11, ст. 913; N 15, ст. 1343; N 49, ст. 4852; 2005, N 1, ст. 18; 2006, N 1, ст. 5, ст. 19; N 2, ст. 172; N 31, ст. 3437, ст. 3445, ст. 3454; N 52, ст. 5497; 2007, N 7, ст. 834; N 31, ст. 4016; N 49, ст. 6079; 2008, N 18, ст. 1941; 2009, N 1, ст. 23; N 19, ст. 2279; N 23, ст. 2770; N 29, ст. 3642; N 52, ст. 6428; 2010, N 41, ст. 5193; N 45, ст. 5757; 2011, N 1, ст. 13, ст. 21; N 30, ст. 4576; N 48, ст. 6728; N 49, ст. 7024, ст. 7040; N 50, ст. 7357; 2012, N 25, ст. 3267; N 31, ст. 4334; N 53, ст. 7607; 2013, N 14, ст. 1655; N 30, ст. 4043, ст. 4084; N 45, ст. 5797; </w:t>
      </w:r>
      <w:r w:rsidRPr="00477550">
        <w:lastRenderedPageBreak/>
        <w:t>N 51, ст. 6699; N 52, ст. 6975; 2014, N 19, ст. 2304; N 30, ст. 4219; N 52, ст. 7543; 2015, N 14, ст. 2022; N 27, ст. 4001; 2016, N 1, ст. 29; N 23, ст. 3296; N 27, ст. 4271, ст. 4272, ст. 4273, ст. 4276) (далее - Федеральный закон "Об акционерных обществах"). Порядок и сроки проведения операций.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Особенности действий держателя реестра при проведении корпоративных действий в случаях, предусмотренных главами IX и XI.1 Федерального закона "Об акционерных обществах".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6. Особенности ведения реестра владельцев инвестиционных паев паевых инвестиционных фондов, ипотечных сертификатов участия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6.1. Особенности совершения операций при ведении реестра владельцев инвестиционных паев паевых инвестиционных фондов и ипотечных сертификатов участия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Операции по лицевым и иным счетам при выдаче, обмене и погашении инвестиционных паев паевого инвестиционного фонда: основания, сроки и условия списания (зачисления) инвестиционных паев. Требования к содержанию распоряжений лица, обязанного по ценным бумагам, о проведении операций.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Операции по лицевым и иным счетам при выдаче и погашении ипотечных сертификатов участия: основания, сроки и условия списания (зачисления) ипотечных сертификатов участия. Требования к содержанию распоряжений управляющего ипотечным покрытием о проведении операций.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6.2. Требования к составлению списков владельцев инвестиционных паев паевых инвестиционных фондов и ипотечных сертификатов участия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и сроки составления держателем реестра списка владельцев инвестиционных паев паевых инвестиционных фондов и ипотечных сертификатов участия.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Сведения, включаемые в список владельцев инвестиционных паев паевых инвестиционных фондов и ипотечных сертификатов участия.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7. Роль саморегулируемой организации в сфере финансового рынка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7.1. Членство в саморегулируемой организации в сфере финансового рынка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Саморегулируемые организации в сфере финансового рынка, их функции. Членство профессиональных участников рынка ценных бумаг, осуществляющих деятельность по ведению реестра, в саморегулируемой организации в сфере финансового рынка.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Стандарты саморегулируемых организаций в сфере финансового рынка: базовые и внутренние.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Тема 7.2. Контроль саморегулируемой организацией в сфере финансового рынка деятельности своих членов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Контроль саморегулируемой организацией в сфере финансового рынка деятельности своих членов. Меры, применяемые в отношении членов саморегулируемой организации в сфере финансового рынка. Рассмотрение саморегулируемой организацией в сфере финансового рынка обращений в отношении своих членов.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8. Система внутреннего контроля профессиональных участников рынка ценных бумаг, осуществляющих деятельность по ведению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8.1. Внутренний контроль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Понятие внутреннего контроля и внутреннего аудита. Цели внутреннего контроля и внутреннего аудита. Внутренние документы профессионального участника рынка ценных бумаг, осуществляющего деятельность по ведению реестра, регулирующие порядок осуществления внутреннего контроля и внутреннего аудита.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Обязанности руководителя и работников профессионального участника рынка ценных бумаг, осуществляющего деятельность по ведению реестра, связанные с осуществлением внутреннего контроля и внутреннего аудита.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Функции контролера и внутреннего аудитора. Права и обязанности контролера и внутреннего аудитора. Независимость контролера и внутреннего аудитора.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Отчетность контролера и внутреннего аудитора.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8.2. Внутренний контроль в целях противодействия легализации (отмыванию) доходов, полученных преступным путем, и финансированию терроризма. Порядок взаимодействия с уполномоченным органом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Внутренний контроль в целях противодействия легализации (отмыванию) доходов, полученных преступным путем, и финансированию терроризма (далее - ПОД/ФТ) как часть системы внутреннего контроля. Права и обязанности организаций, осуществляющих операции с денежными средствами или иным имуществом. Квалификационные требования к специальным должностным лицам. Программы реализации внутреннего контроля в целях ПОД/ФТ. Операции с денежными средствами или иным имуществом, подлежащие обязательному контролю.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Особенности организации внутреннего контроля в целях ПОД/ФТ в организациях, осуществляющих деятельность по ведению реестра. Правила внутреннего контроля профессионального участника рынка ценных бумаг, осуществляющего деятельность по ведению реестра, в целях ПОД/ФТ.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 xml:space="preserve">Основания для включения организации или физического лица в перечень организаций и лиц, в отношении которых имеются полученные в установленном в соответствии с Федеральным законом от 7 августа 2001 года N </w:t>
      </w:r>
      <w:hyperlink r:id="rId9" w:history="1">
        <w:r w:rsidRPr="00477550">
          <w:rPr>
            <w:rStyle w:val="a3"/>
            <w:color w:val="auto"/>
          </w:rPr>
          <w:t>115-ФЗ</w:t>
        </w:r>
      </w:hyperlink>
      <w:r w:rsidRPr="00477550">
        <w:t xml:space="preserve">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2311, ст. 2315, ст. 2335; N 23, ст. 2934; N 30, ст. 4214, ст. 4219; 2015, N 1, ст. 14, ст. 37, ст. 58; N 18, ст. 2614; N 24, ст. 3367; N 27, ст. 3945, ст. 3950, ст. 4001; 2016, N 1, ст. 11, ст. 23, ст. 27, ст. 43, ст. 44; N 26, ст. 3860, ст. 3884; N 27, ст. 4196, ст. 4221; N 28, ст. 4558; 2017, N 1, ст. 12, ст. 46) порядке сведения об их причастности к экстремистской деятельности или терроризму. Критерии и признаки необычных сделок.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 xml:space="preserve">Идентификация зарегистрированных лиц, представителей зарегистрированных лиц, выгодоприобретателей и </w:t>
      </w:r>
      <w:proofErr w:type="spellStart"/>
      <w:r w:rsidRPr="00477550">
        <w:t>бенефициарных</w:t>
      </w:r>
      <w:proofErr w:type="spellEnd"/>
      <w:r w:rsidRPr="00477550">
        <w:t xml:space="preserve"> владельцев, в том числе упрощенная идентификация.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Предоставление информации в уполномоченный орган. Порядок приостановления операций. Обеспечение конфиденциальности информации. Отчетность специальных должностных лиц.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8.3. Система управления рисками. Международные стандарты в области построения системы управления рисками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Основные принципы построения системы управления рисками профессионального участника рынка ценных бумаг, осуществляющего деятельность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Определение и классификация рисков.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Выявление и оценка рисков, возникающих при осуществлении деятельности по ведению реестра на рынке ценных бумаг. Методы управления рисками.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 к документам профессионального участника рынка ценных бумаг, осуществляющего деятельность по ведению реестра, при организации системы управления рисками.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Требования к руководителям и работникам профессионального участника рынка ценных бумаг, осуществляющего деятельность по ведению реестра, при организации системы управления рисками.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 xml:space="preserve">Международные стандарты и рекомендации в области построения внутренних систем оценки рисков, методов оценки, контроля, мониторинга и управления рисками и возможности их </w:t>
      </w:r>
      <w:r w:rsidRPr="00477550">
        <w:lastRenderedPageBreak/>
        <w:t>применения профессиональными участниками рынка ценных бумаг, осуществляющими деятельность по ведению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8.4. Противодействие неправомерному использованию инсайдерской информации и манипулированию рынком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Цель противодействия неправомерному использованию инсайдерской информации и манипулированию рынком. Сфера регулирования и основные понятия законодательства Российской Федерации в области противодействия неправомерному использованию инсайдерской информации и манипулированию рынком. Порядок и сроки раскрытия или предоставления инсайдерской информации. Требования по ведению и передаче списка инсайдеров. Ограничения на использование инсайдерской информации и манипулирование рынком, а также последствия использования указанных недобросовестных практик поведения. Меры по предотвращению, выявлению и пресечению неправомерного использования инсайдерской информации и манипулирования рынком, которые обязаны осуществлять инсайдеры. Функции и полномочия Банка России по противодействию неправомерному использованию инсайдерской информации и манипулированию рынком.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9. Обеспечение прав и законных интересов инвесторов на рынке ценных бумаг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9.1. Принципы защиты прав и законных интересов инвесторов на рынке ценных бумаг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Принципы добросовестных отношений профессиональных участников рынка ценных бумаг, осуществляющих деятельность по ведению реестра, с зарегистрированными лицами.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Особенности учета прав на ценные бумаги, предназначенные для квалифицированных инвесторов.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Ограничения, связанные с эмиссией и обращением ценных бумаг, в целях обеспечения защиты прав и законных интересов инвесторов.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Предоставление информации профессиональными участниками рынка ценных бумаг, осуществляющими деятельность по ведению реестра, инвесторам.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Полномочия Банка России в случае возникновения угрозы (выявления) нарушения профессиональным участником рынка ценных бумаг, осуществляющим деятельность по ведению реестра, прав и законных интересов инвесторов. Порядок рассмотрения дел, связанных с нарушением прав и законных интересов инвесторов, и наложения штрафов за нарушение законодательства Российской Федерации о защите прав и законных интересов инвесторов на рынке ценных бумаг.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9.2. Обеспечение конфиденциальности информации держателем реестра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Конфиденциальность информации о счетах зарегистрированных лиц. Перечень лиц и состав сведений, которые могут быть предоставлены держателем реестра.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Предоставление информации о ценных бумагах, обремененных правом залога.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Правовые основания для предоставления конфиденциальной информации эмитенту (лицу, обязанному по ценным бумагам).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Порядок предоставления конфиденциальной информации по запросам Центральной избирательной комиссии Российской Федерации, избирательных комиссий субъектов Российской Федерации.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Глава 10. Международная практика регулирования деятельности держателей реестров на финансовых рынках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Тема 10.1. Зарубежный опыт регулирования деятельности держателей реестров на финансовых рынках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Международные тенденции развития регулирования деятельности держателей реестров (лиц, выполняющих функции регистраторов) на финансовых рынках: организационно-правовые модели и структуры, сегменты рынка, продукты и услуги, новые финансовые технологии (на примере США, Японии, Великобритании, Франции и Германии).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Крупнейшие международные инфраструктурные организации.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Международные организации и ассоциации, объединяющие держателей реестров (лиц, выполняющих функции регистраторов) на финансовых рынках.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Международные принципы Международной организации комиссий по ценным бумагам (IOSCO), затрагивающие вопросы идентификации владельцев ценных бумаг и вопросы обеспечения сохранности учетных записей.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t>Инвестиционные институты стран Европейского союза (ЕС). Модели организации. Директива Европейского парламента и Совета Европейского Союза от 21 апреля 2004 года N 2004/39/ЕС "О рынках финансовых инструментов и внесении изменений в Директивы 85/611/ЕЭС Совета ЕС, 93/6/ЕЭС, Директиву 2000/12/ЕС Европейского парламента и Совета ЕС, а также об отмене Директивы 93/22/ЕЭС Совета ЕС", Директива Европейского парламента и Совета Европейского Союза от 15 мая 2014 года N 2014/65/ЕС "О рынках финансовых инструментов с поправками к Директиве 2002/92/ЕС и Директиве 2011/61/ЕС" (MIFID, MIFID 2). Совет по финансовой стабильности (FSB). Принципы регулирования рынков ценных бумаг Группы разработки мер борьбы с отмыванием денег (FATF).</w:t>
      </w:r>
    </w:p>
    <w:p w:rsidR="00477550" w:rsidRPr="00477550" w:rsidRDefault="00477550" w:rsidP="00477550">
      <w:pPr>
        <w:pStyle w:val="pj"/>
        <w:shd w:val="clear" w:color="auto" w:fill="FFFFFF"/>
        <w:spacing w:line="360" w:lineRule="atLeast"/>
      </w:pPr>
      <w:r w:rsidRPr="00477550">
        <w:lastRenderedPageBreak/>
        <w:t>Единые подходы к осуществлению деятельности на финансовом рынке в Евразийском экономическом союзе (ЕАЭС). Гармонизация национальных законодательств в сфере функционирования финансовых рынков.</w:t>
      </w:r>
    </w:p>
    <w:p w:rsidR="00A317CD" w:rsidRPr="00477550" w:rsidRDefault="00A317CD"/>
    <w:sectPr w:rsidR="00A317CD" w:rsidRPr="00477550" w:rsidSect="0047755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01"/>
    <w:rsid w:val="00477550"/>
    <w:rsid w:val="004E5E01"/>
    <w:rsid w:val="00A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BA5E-09B1-4EAE-B421-2B909BC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550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4775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775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4775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6.12.1995-N-208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6.10.2002-N-127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9.11.2001-N-156-F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acts/Prikaz-FSFR-Rossii-ot-03.04.2012-N-12-19_pz-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laws.ru/laws/Federalnyy-zakon-ot-22.04.1996-N-39-FZ/" TargetMode="External"/><Relationship Id="rId9" Type="http://schemas.openxmlformats.org/officeDocument/2006/relationships/hyperlink" Target="http://rulaws.ru/laws/Federalnyy-zakon-ot-07.08.2001-N-11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4097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Владимир Коненкин</cp:lastModifiedBy>
  <cp:revision>2</cp:revision>
  <dcterms:created xsi:type="dcterms:W3CDTF">2018-03-21T09:38:00Z</dcterms:created>
  <dcterms:modified xsi:type="dcterms:W3CDTF">2018-03-21T09:39:00Z</dcterms:modified>
</cp:coreProperties>
</file>